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1410" w14:textId="51E66B99" w:rsidR="001B01DE" w:rsidRDefault="00382ABE" w:rsidP="00380C44">
      <w:pPr>
        <w:jc w:val="center"/>
      </w:pPr>
      <w:r w:rsidRPr="00382ABE">
        <w:rPr>
          <w:noProof/>
        </w:rPr>
        <w:drawing>
          <wp:inline distT="0" distB="0" distL="0" distR="0" wp14:anchorId="5B88518C" wp14:editId="17AD3F14">
            <wp:extent cx="801868" cy="1040128"/>
            <wp:effectExtent l="0" t="0" r="0" b="8255"/>
            <wp:docPr id="3" name="Picture 2">
              <a:extLst xmlns:a="http://schemas.openxmlformats.org/drawingml/2006/main">
                <a:ext uri="{FF2B5EF4-FFF2-40B4-BE49-F238E27FC236}">
                  <a16:creationId xmlns:a16="http://schemas.microsoft.com/office/drawing/2014/main" id="{0CD30824-5689-4E4D-A153-57EC524437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CD30824-5689-4E4D-A153-57EC524437D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868" cy="1040128"/>
                    </a:xfrm>
                    <a:prstGeom prst="rect">
                      <a:avLst/>
                    </a:prstGeom>
                  </pic:spPr>
                </pic:pic>
              </a:graphicData>
            </a:graphic>
          </wp:inline>
        </w:drawing>
      </w:r>
    </w:p>
    <w:p w14:paraId="31838715" w14:textId="40D72004" w:rsidR="00A819FD" w:rsidRPr="00380C44" w:rsidRDefault="00382ABE" w:rsidP="00382ABE">
      <w:pPr>
        <w:rPr>
          <w:rFonts w:cstheme="minorHAnsi"/>
          <w:b/>
          <w:bCs/>
          <w:sz w:val="24"/>
          <w:szCs w:val="24"/>
        </w:rPr>
      </w:pPr>
      <w:r w:rsidRPr="00380C44">
        <w:rPr>
          <w:rFonts w:cstheme="minorHAnsi"/>
          <w:b/>
          <w:bCs/>
          <w:sz w:val="24"/>
          <w:szCs w:val="24"/>
        </w:rPr>
        <w:t xml:space="preserve">Sponsor Packages for the </w:t>
      </w:r>
      <w:r w:rsidR="00457FA3" w:rsidRPr="00380C44">
        <w:rPr>
          <w:rFonts w:cstheme="minorHAnsi"/>
          <w:b/>
          <w:bCs/>
          <w:sz w:val="24"/>
          <w:szCs w:val="24"/>
        </w:rPr>
        <w:t>2nd</w:t>
      </w:r>
      <w:r w:rsidRPr="00380C44">
        <w:rPr>
          <w:rFonts w:cstheme="minorHAnsi"/>
          <w:b/>
          <w:bCs/>
          <w:sz w:val="24"/>
          <w:szCs w:val="24"/>
        </w:rPr>
        <w:t xml:space="preserve"> Annual Conference of </w:t>
      </w:r>
      <w:r w:rsidR="00853076" w:rsidRPr="00380C44">
        <w:rPr>
          <w:rFonts w:cstheme="minorHAnsi"/>
          <w:b/>
          <w:bCs/>
          <w:sz w:val="24"/>
          <w:szCs w:val="24"/>
        </w:rPr>
        <w:t xml:space="preserve">The </w:t>
      </w:r>
      <w:r w:rsidR="003F2A0C" w:rsidRPr="00380C44">
        <w:rPr>
          <w:rFonts w:cstheme="minorHAnsi"/>
          <w:b/>
          <w:bCs/>
          <w:sz w:val="24"/>
          <w:szCs w:val="24"/>
        </w:rPr>
        <w:t xml:space="preserve">Thai </w:t>
      </w:r>
      <w:r w:rsidRPr="00380C44">
        <w:rPr>
          <w:rFonts w:cstheme="minorHAnsi"/>
          <w:b/>
          <w:bCs/>
          <w:sz w:val="24"/>
          <w:szCs w:val="24"/>
        </w:rPr>
        <w:t>Society of Human Genetics</w:t>
      </w:r>
      <w:r w:rsidR="00056B9C" w:rsidRPr="00380C44">
        <w:rPr>
          <w:rFonts w:cstheme="minorHAnsi"/>
          <w:b/>
          <w:bCs/>
          <w:sz w:val="24"/>
          <w:szCs w:val="24"/>
        </w:rPr>
        <w:t xml:space="preserve"> </w:t>
      </w:r>
      <w:r w:rsidR="00A819FD" w:rsidRPr="00380C44">
        <w:rPr>
          <w:rFonts w:cstheme="minorHAnsi"/>
          <w:b/>
          <w:bCs/>
          <w:sz w:val="24"/>
          <w:szCs w:val="24"/>
        </w:rPr>
        <w:t xml:space="preserve">   </w:t>
      </w:r>
    </w:p>
    <w:p w14:paraId="0FBA9CD5" w14:textId="17ED6633" w:rsidR="00382ABE" w:rsidRPr="00380C44" w:rsidRDefault="00457FA3" w:rsidP="00382ABE">
      <w:pPr>
        <w:rPr>
          <w:rFonts w:cstheme="minorHAnsi"/>
          <w:b/>
          <w:bCs/>
          <w:sz w:val="24"/>
          <w:szCs w:val="24"/>
        </w:rPr>
      </w:pPr>
      <w:r w:rsidRPr="00380C44">
        <w:rPr>
          <w:rFonts w:cstheme="minorHAnsi"/>
          <w:b/>
          <w:bCs/>
          <w:sz w:val="24"/>
          <w:szCs w:val="24"/>
        </w:rPr>
        <w:t>May</w:t>
      </w:r>
      <w:r w:rsidR="003F2A0C" w:rsidRPr="00380C44">
        <w:rPr>
          <w:rFonts w:cstheme="minorHAnsi"/>
          <w:b/>
          <w:bCs/>
          <w:sz w:val="24"/>
          <w:szCs w:val="24"/>
        </w:rPr>
        <w:t xml:space="preserve"> 29-30</w:t>
      </w:r>
      <w:r w:rsidR="00056B9C" w:rsidRPr="00380C44">
        <w:rPr>
          <w:rFonts w:cstheme="minorHAnsi"/>
          <w:b/>
          <w:bCs/>
          <w:sz w:val="24"/>
          <w:szCs w:val="24"/>
        </w:rPr>
        <w:t xml:space="preserve"> </w:t>
      </w:r>
      <w:r w:rsidR="00382ABE" w:rsidRPr="00380C44">
        <w:rPr>
          <w:rFonts w:cstheme="minorHAnsi"/>
          <w:b/>
          <w:bCs/>
          <w:sz w:val="24"/>
          <w:szCs w:val="24"/>
        </w:rPr>
        <w:t>202</w:t>
      </w:r>
      <w:r w:rsidRPr="00380C44">
        <w:rPr>
          <w:rFonts w:cstheme="minorHAnsi"/>
          <w:b/>
          <w:bCs/>
          <w:sz w:val="24"/>
          <w:szCs w:val="24"/>
        </w:rPr>
        <w:t>3</w:t>
      </w:r>
      <w:r w:rsidR="00382ABE" w:rsidRPr="00380C44">
        <w:rPr>
          <w:rFonts w:cstheme="minorHAnsi"/>
          <w:b/>
          <w:bCs/>
          <w:sz w:val="24"/>
          <w:szCs w:val="24"/>
        </w:rPr>
        <w:t xml:space="preserve">, </w:t>
      </w:r>
      <w:r w:rsidRPr="00380C44">
        <w:rPr>
          <w:rFonts w:cstheme="minorHAnsi"/>
          <w:b/>
          <w:bCs/>
          <w:sz w:val="24"/>
          <w:szCs w:val="24"/>
        </w:rPr>
        <w:t>Radisson Blu Plaza Hotel</w:t>
      </w:r>
      <w:r w:rsidR="00A819FD" w:rsidRPr="00380C44">
        <w:rPr>
          <w:rFonts w:cstheme="minorHAnsi"/>
          <w:b/>
          <w:bCs/>
          <w:sz w:val="24"/>
          <w:szCs w:val="24"/>
        </w:rPr>
        <w:t>,</w:t>
      </w:r>
      <w:r w:rsidR="00382ABE" w:rsidRPr="00380C44">
        <w:rPr>
          <w:rFonts w:cstheme="minorHAnsi"/>
          <w:b/>
          <w:bCs/>
          <w:sz w:val="24"/>
          <w:szCs w:val="24"/>
        </w:rPr>
        <w:t xml:space="preserve"> Bangkok</w:t>
      </w:r>
    </w:p>
    <w:p w14:paraId="394DDD42" w14:textId="7ABA3BC6" w:rsidR="00382ABE" w:rsidRPr="00380C44" w:rsidRDefault="00382ABE" w:rsidP="00853076">
      <w:pPr>
        <w:spacing w:before="240"/>
        <w:jc w:val="thaiDistribute"/>
        <w:rPr>
          <w:rFonts w:cstheme="minorHAnsi"/>
          <w:sz w:val="24"/>
          <w:szCs w:val="24"/>
        </w:rPr>
      </w:pPr>
      <w:r w:rsidRPr="00380C44">
        <w:rPr>
          <w:rFonts w:cstheme="minorHAnsi"/>
          <w:sz w:val="24"/>
          <w:szCs w:val="24"/>
        </w:rPr>
        <w:t>The</w:t>
      </w:r>
      <w:r w:rsidR="003F2A0C" w:rsidRPr="00380C44">
        <w:rPr>
          <w:rFonts w:cstheme="minorHAnsi"/>
          <w:sz w:val="24"/>
          <w:szCs w:val="24"/>
        </w:rPr>
        <w:t xml:space="preserve"> Thai</w:t>
      </w:r>
      <w:r w:rsidRPr="00380C44">
        <w:rPr>
          <w:rFonts w:cstheme="minorHAnsi"/>
          <w:sz w:val="24"/>
          <w:szCs w:val="24"/>
        </w:rPr>
        <w:t xml:space="preserve"> Society of Human Genetics will host the </w:t>
      </w:r>
      <w:r w:rsidR="00457FA3" w:rsidRPr="00380C44">
        <w:rPr>
          <w:rFonts w:cstheme="minorHAnsi"/>
          <w:sz w:val="24"/>
          <w:szCs w:val="24"/>
        </w:rPr>
        <w:t>2</w:t>
      </w:r>
      <w:r w:rsidR="00457FA3" w:rsidRPr="00380C44">
        <w:rPr>
          <w:rFonts w:cstheme="minorHAnsi"/>
          <w:sz w:val="24"/>
          <w:szCs w:val="24"/>
          <w:vertAlign w:val="superscript"/>
        </w:rPr>
        <w:t>nd</w:t>
      </w:r>
      <w:r w:rsidR="00457FA3" w:rsidRPr="00380C44">
        <w:rPr>
          <w:rFonts w:cstheme="minorHAnsi"/>
          <w:sz w:val="24"/>
          <w:szCs w:val="24"/>
        </w:rPr>
        <w:t xml:space="preserve"> </w:t>
      </w:r>
      <w:r w:rsidRPr="00380C44">
        <w:rPr>
          <w:rFonts w:cstheme="minorHAnsi"/>
          <w:sz w:val="24"/>
          <w:szCs w:val="24"/>
        </w:rPr>
        <w:t>Annual Conference of</w:t>
      </w:r>
      <w:r w:rsidR="00853076" w:rsidRPr="00380C44">
        <w:rPr>
          <w:rFonts w:cstheme="minorHAnsi"/>
          <w:sz w:val="24"/>
          <w:szCs w:val="24"/>
        </w:rPr>
        <w:t xml:space="preserve"> the</w:t>
      </w:r>
      <w:r w:rsidRPr="00380C44">
        <w:rPr>
          <w:rFonts w:cstheme="minorHAnsi"/>
          <w:sz w:val="24"/>
          <w:szCs w:val="24"/>
        </w:rPr>
        <w:t xml:space="preserve"> </w:t>
      </w:r>
      <w:r w:rsidR="003F2A0C" w:rsidRPr="00380C44">
        <w:rPr>
          <w:rFonts w:cstheme="minorHAnsi"/>
          <w:sz w:val="24"/>
          <w:szCs w:val="24"/>
        </w:rPr>
        <w:t xml:space="preserve">Thai </w:t>
      </w:r>
      <w:r w:rsidRPr="00380C44">
        <w:rPr>
          <w:rFonts w:cstheme="minorHAnsi"/>
          <w:sz w:val="24"/>
          <w:szCs w:val="24"/>
        </w:rPr>
        <w:t>Society of Human Genetics 202</w:t>
      </w:r>
      <w:r w:rsidR="003F2A0C" w:rsidRPr="00380C44">
        <w:rPr>
          <w:rFonts w:cstheme="minorHAnsi"/>
          <w:sz w:val="24"/>
          <w:szCs w:val="24"/>
        </w:rPr>
        <w:t>3</w:t>
      </w:r>
      <w:r w:rsidRPr="00380C44">
        <w:rPr>
          <w:rFonts w:cstheme="minorHAnsi"/>
          <w:sz w:val="24"/>
          <w:szCs w:val="24"/>
        </w:rPr>
        <w:t xml:space="preserve"> in the theme of “Genomics Thailand</w:t>
      </w:r>
      <w:r w:rsidR="00457FA3" w:rsidRPr="00380C44">
        <w:rPr>
          <w:rFonts w:cstheme="minorHAnsi"/>
          <w:sz w:val="24"/>
          <w:szCs w:val="24"/>
        </w:rPr>
        <w:t>: The Progress and Momentum</w:t>
      </w:r>
      <w:r w:rsidRPr="00380C44">
        <w:rPr>
          <w:rFonts w:cstheme="minorHAnsi"/>
          <w:sz w:val="24"/>
          <w:szCs w:val="24"/>
        </w:rPr>
        <w:t xml:space="preserve">” reflecting the importance of the national strategic project aiming at driving Thailand towards genomics medicine to improve healthcare. </w:t>
      </w:r>
    </w:p>
    <w:p w14:paraId="0ED8AA85" w14:textId="22C699FA" w:rsidR="00382ABE" w:rsidRPr="00380C44" w:rsidRDefault="00382ABE" w:rsidP="00853076">
      <w:pPr>
        <w:jc w:val="thaiDistribute"/>
        <w:rPr>
          <w:rFonts w:cstheme="minorHAnsi"/>
          <w:sz w:val="24"/>
          <w:szCs w:val="24"/>
        </w:rPr>
      </w:pPr>
      <w:r w:rsidRPr="00380C44">
        <w:rPr>
          <w:rFonts w:cstheme="minorHAnsi"/>
          <w:sz w:val="24"/>
          <w:szCs w:val="24"/>
        </w:rPr>
        <w:t>The event will take place at</w:t>
      </w:r>
      <w:r w:rsidR="00A819FD" w:rsidRPr="00380C44">
        <w:rPr>
          <w:rFonts w:cstheme="minorHAnsi"/>
          <w:sz w:val="24"/>
          <w:szCs w:val="24"/>
        </w:rPr>
        <w:t xml:space="preserve"> the</w:t>
      </w:r>
      <w:r w:rsidRPr="00380C44">
        <w:rPr>
          <w:rFonts w:cstheme="minorHAnsi"/>
          <w:sz w:val="24"/>
          <w:szCs w:val="24"/>
        </w:rPr>
        <w:t xml:space="preserve"> </w:t>
      </w:r>
      <w:r w:rsidR="00457FA3" w:rsidRPr="00380C44">
        <w:rPr>
          <w:rFonts w:cstheme="minorHAnsi"/>
          <w:sz w:val="24"/>
          <w:szCs w:val="24"/>
        </w:rPr>
        <w:t>Radisson Blu Plaza Hotel</w:t>
      </w:r>
      <w:r w:rsidRPr="00380C44">
        <w:rPr>
          <w:rFonts w:cstheme="minorHAnsi"/>
          <w:sz w:val="24"/>
          <w:szCs w:val="24"/>
        </w:rPr>
        <w:t xml:space="preserve">, Bangkok during </w:t>
      </w:r>
      <w:r w:rsidR="00457FA3" w:rsidRPr="00380C44">
        <w:rPr>
          <w:rFonts w:cstheme="minorHAnsi"/>
          <w:sz w:val="24"/>
          <w:szCs w:val="24"/>
        </w:rPr>
        <w:t>May 29-30, 2023</w:t>
      </w:r>
      <w:r w:rsidRPr="00380C44">
        <w:rPr>
          <w:rFonts w:cstheme="minorHAnsi"/>
          <w:sz w:val="24"/>
          <w:szCs w:val="24"/>
        </w:rPr>
        <w:t>.</w:t>
      </w:r>
      <w:r w:rsidR="00457FA3" w:rsidRPr="00380C44">
        <w:rPr>
          <w:rFonts w:cstheme="minorHAnsi"/>
          <w:sz w:val="24"/>
          <w:szCs w:val="24"/>
        </w:rPr>
        <w:t xml:space="preserve"> </w:t>
      </w:r>
      <w:r w:rsidRPr="00380C44">
        <w:rPr>
          <w:rFonts w:cstheme="minorHAnsi"/>
          <w:sz w:val="24"/>
          <w:szCs w:val="24"/>
        </w:rPr>
        <w:t xml:space="preserve"> </w:t>
      </w:r>
      <w:r w:rsidR="00457FA3" w:rsidRPr="00380C44">
        <w:rPr>
          <w:rFonts w:cstheme="minorHAnsi"/>
          <w:sz w:val="24"/>
          <w:szCs w:val="24"/>
        </w:rPr>
        <w:t xml:space="preserve">  </w:t>
      </w:r>
      <w:r w:rsidR="00853076" w:rsidRPr="00380C44">
        <w:rPr>
          <w:rFonts w:cstheme="minorHAnsi"/>
          <w:sz w:val="24"/>
          <w:szCs w:val="24"/>
        </w:rPr>
        <w:t xml:space="preserve">     </w:t>
      </w:r>
      <w:r w:rsidRPr="00380C44">
        <w:rPr>
          <w:rFonts w:cstheme="minorHAnsi"/>
          <w:sz w:val="24"/>
          <w:szCs w:val="24"/>
        </w:rPr>
        <w:t xml:space="preserve">This is a hybrid meeting with target 200 participants onsite </w:t>
      </w:r>
      <w:r w:rsidR="00A819FD" w:rsidRPr="00380C44">
        <w:rPr>
          <w:rFonts w:cstheme="minorHAnsi"/>
          <w:sz w:val="24"/>
          <w:szCs w:val="24"/>
        </w:rPr>
        <w:t>and</w:t>
      </w:r>
      <w:r w:rsidR="002544C8" w:rsidRPr="00380C44">
        <w:rPr>
          <w:rFonts w:cstheme="minorHAnsi"/>
          <w:sz w:val="24"/>
          <w:szCs w:val="24"/>
        </w:rPr>
        <w:t xml:space="preserve"> simultaneous online session. Targeted participants</w:t>
      </w:r>
      <w:r w:rsidRPr="00380C44">
        <w:rPr>
          <w:rFonts w:cstheme="minorHAnsi"/>
          <w:sz w:val="24"/>
          <w:szCs w:val="24"/>
        </w:rPr>
        <w:t xml:space="preserve"> are professionals in healthcare with focuses in clinical genomics, medical genetics, human genetics and translational medicine. Also, renowned clinical geneticist, researchers, health policy makers and key influencers in the fields of medicine and healthcare are invited as speakers. </w:t>
      </w:r>
    </w:p>
    <w:p w14:paraId="31927CA9" w14:textId="5BC529CC" w:rsidR="002544C8" w:rsidRPr="00380C44" w:rsidRDefault="002544C8" w:rsidP="00853076">
      <w:pPr>
        <w:jc w:val="thaiDistribute"/>
        <w:rPr>
          <w:rFonts w:cstheme="minorHAnsi"/>
          <w:sz w:val="24"/>
          <w:szCs w:val="24"/>
        </w:rPr>
      </w:pPr>
      <w:r w:rsidRPr="00380C44">
        <w:rPr>
          <w:rFonts w:cstheme="minorHAnsi"/>
          <w:sz w:val="24"/>
          <w:szCs w:val="24"/>
        </w:rPr>
        <w:t>Multiple sponsor packages are available with privileges and benefits as outlined in the following table. Availability will be on the basis of first-come first-serve.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63"/>
        <w:gridCol w:w="1662"/>
        <w:gridCol w:w="6237"/>
      </w:tblGrid>
      <w:tr w:rsidR="002544C8" w:rsidRPr="00380C44" w14:paraId="6E3F98AC" w14:textId="77777777" w:rsidTr="002544C8">
        <w:trPr>
          <w:trHeight w:val="531"/>
        </w:trPr>
        <w:tc>
          <w:tcPr>
            <w:tcW w:w="1163" w:type="dxa"/>
            <w:shd w:val="clear" w:color="auto" w:fill="D0CECE" w:themeFill="background2" w:themeFillShade="E6"/>
            <w:tcMar>
              <w:top w:w="72" w:type="dxa"/>
              <w:left w:w="144" w:type="dxa"/>
              <w:bottom w:w="72" w:type="dxa"/>
              <w:right w:w="144" w:type="dxa"/>
            </w:tcMar>
            <w:hideMark/>
          </w:tcPr>
          <w:p w14:paraId="447EB342" w14:textId="151E58AE" w:rsidR="002544C8" w:rsidRPr="00380C44" w:rsidRDefault="002544C8" w:rsidP="002544C8">
            <w:pPr>
              <w:rPr>
                <w:rFonts w:cstheme="minorHAnsi"/>
                <w:sz w:val="24"/>
                <w:szCs w:val="24"/>
              </w:rPr>
            </w:pPr>
            <w:r w:rsidRPr="00380C44">
              <w:rPr>
                <w:rFonts w:cstheme="minorHAnsi"/>
                <w:sz w:val="24"/>
                <w:szCs w:val="24"/>
              </w:rPr>
              <w:t xml:space="preserve"> </w:t>
            </w:r>
            <w:r w:rsidRPr="00380C44">
              <w:rPr>
                <w:rFonts w:cstheme="minorHAnsi"/>
                <w:b/>
                <w:bCs/>
                <w:sz w:val="24"/>
                <w:szCs w:val="24"/>
              </w:rPr>
              <w:t>Package</w:t>
            </w:r>
          </w:p>
        </w:tc>
        <w:tc>
          <w:tcPr>
            <w:tcW w:w="1662" w:type="dxa"/>
            <w:shd w:val="clear" w:color="auto" w:fill="D0CECE" w:themeFill="background2" w:themeFillShade="E6"/>
            <w:tcMar>
              <w:top w:w="72" w:type="dxa"/>
              <w:left w:w="144" w:type="dxa"/>
              <w:bottom w:w="72" w:type="dxa"/>
              <w:right w:w="144" w:type="dxa"/>
            </w:tcMar>
            <w:hideMark/>
          </w:tcPr>
          <w:p w14:paraId="4BAFC198" w14:textId="77777777" w:rsidR="002544C8" w:rsidRPr="00380C44" w:rsidRDefault="002544C8" w:rsidP="002544C8">
            <w:pPr>
              <w:rPr>
                <w:rFonts w:cstheme="minorHAnsi"/>
                <w:sz w:val="24"/>
                <w:szCs w:val="24"/>
                <w:cs/>
              </w:rPr>
            </w:pPr>
            <w:r w:rsidRPr="00380C44">
              <w:rPr>
                <w:rFonts w:cstheme="minorHAnsi"/>
                <w:b/>
                <w:bCs/>
                <w:sz w:val="24"/>
                <w:szCs w:val="24"/>
              </w:rPr>
              <w:t xml:space="preserve">Price </w:t>
            </w:r>
          </w:p>
        </w:tc>
        <w:tc>
          <w:tcPr>
            <w:tcW w:w="6237" w:type="dxa"/>
            <w:shd w:val="clear" w:color="auto" w:fill="D0CECE" w:themeFill="background2" w:themeFillShade="E6"/>
            <w:tcMar>
              <w:top w:w="72" w:type="dxa"/>
              <w:left w:w="144" w:type="dxa"/>
              <w:bottom w:w="72" w:type="dxa"/>
              <w:right w:w="144" w:type="dxa"/>
            </w:tcMar>
            <w:hideMark/>
          </w:tcPr>
          <w:p w14:paraId="30A2BD29" w14:textId="77777777" w:rsidR="002544C8" w:rsidRPr="00380C44" w:rsidRDefault="002544C8" w:rsidP="002544C8">
            <w:pPr>
              <w:rPr>
                <w:rFonts w:cstheme="minorHAnsi"/>
                <w:sz w:val="24"/>
                <w:szCs w:val="24"/>
                <w:cs/>
              </w:rPr>
            </w:pPr>
            <w:r w:rsidRPr="00380C44">
              <w:rPr>
                <w:rFonts w:cstheme="minorHAnsi"/>
                <w:b/>
                <w:bCs/>
                <w:sz w:val="24"/>
                <w:szCs w:val="24"/>
              </w:rPr>
              <w:t>Benefits</w:t>
            </w:r>
          </w:p>
        </w:tc>
      </w:tr>
      <w:tr w:rsidR="002544C8" w:rsidRPr="00380C44" w14:paraId="538DB840" w14:textId="77777777" w:rsidTr="002544C8">
        <w:trPr>
          <w:trHeight w:val="584"/>
        </w:trPr>
        <w:tc>
          <w:tcPr>
            <w:tcW w:w="1163" w:type="dxa"/>
            <w:shd w:val="clear" w:color="auto" w:fill="auto"/>
            <w:tcMar>
              <w:top w:w="72" w:type="dxa"/>
              <w:left w:w="144" w:type="dxa"/>
              <w:bottom w:w="72" w:type="dxa"/>
              <w:right w:w="144" w:type="dxa"/>
            </w:tcMar>
            <w:hideMark/>
          </w:tcPr>
          <w:p w14:paraId="18D0E2F7" w14:textId="77777777" w:rsidR="002544C8" w:rsidRPr="00380C44" w:rsidRDefault="002544C8" w:rsidP="002544C8">
            <w:pPr>
              <w:rPr>
                <w:sz w:val="24"/>
                <w:szCs w:val="24"/>
                <w:cs/>
              </w:rPr>
            </w:pPr>
            <w:r w:rsidRPr="00380C44">
              <w:rPr>
                <w:rFonts w:cstheme="minorHAnsi"/>
                <w:sz w:val="24"/>
                <w:szCs w:val="24"/>
              </w:rPr>
              <w:t xml:space="preserve">Platinum </w:t>
            </w:r>
          </w:p>
        </w:tc>
        <w:tc>
          <w:tcPr>
            <w:tcW w:w="1662" w:type="dxa"/>
            <w:shd w:val="clear" w:color="auto" w:fill="auto"/>
            <w:tcMar>
              <w:top w:w="72" w:type="dxa"/>
              <w:left w:w="144" w:type="dxa"/>
              <w:bottom w:w="72" w:type="dxa"/>
              <w:right w:w="144" w:type="dxa"/>
            </w:tcMar>
            <w:hideMark/>
          </w:tcPr>
          <w:p w14:paraId="209FE789" w14:textId="358967AE" w:rsidR="002544C8" w:rsidRPr="00380C44" w:rsidRDefault="002544C8" w:rsidP="002544C8">
            <w:pPr>
              <w:rPr>
                <w:rFonts w:cstheme="minorHAnsi"/>
                <w:sz w:val="24"/>
                <w:szCs w:val="24"/>
                <w:cs/>
              </w:rPr>
            </w:pPr>
            <w:r w:rsidRPr="00380C44">
              <w:rPr>
                <w:rFonts w:cstheme="minorHAnsi"/>
                <w:sz w:val="24"/>
                <w:szCs w:val="24"/>
              </w:rPr>
              <w:t>3</w:t>
            </w:r>
            <w:r w:rsidR="00457FA3" w:rsidRPr="00380C44">
              <w:rPr>
                <w:rFonts w:cstheme="minorHAnsi"/>
                <w:sz w:val="24"/>
                <w:szCs w:val="24"/>
              </w:rPr>
              <w:t>5</w:t>
            </w:r>
            <w:r w:rsidRPr="00380C44">
              <w:rPr>
                <w:rFonts w:cstheme="minorHAnsi"/>
                <w:sz w:val="24"/>
                <w:szCs w:val="24"/>
              </w:rPr>
              <w:t>0,000 Baht</w:t>
            </w:r>
          </w:p>
          <w:p w14:paraId="31824963" w14:textId="77777777" w:rsidR="002544C8" w:rsidRPr="00380C44" w:rsidRDefault="002544C8" w:rsidP="002544C8">
            <w:pPr>
              <w:rPr>
                <w:rFonts w:cstheme="minorHAnsi"/>
                <w:sz w:val="24"/>
                <w:szCs w:val="24"/>
                <w:cs/>
              </w:rPr>
            </w:pPr>
            <w:r w:rsidRPr="00380C44">
              <w:rPr>
                <w:rFonts w:cstheme="minorHAnsi"/>
                <w:sz w:val="24"/>
                <w:szCs w:val="24"/>
              </w:rPr>
              <w:t>Limited Offer</w:t>
            </w:r>
          </w:p>
        </w:tc>
        <w:tc>
          <w:tcPr>
            <w:tcW w:w="6237" w:type="dxa"/>
            <w:shd w:val="clear" w:color="auto" w:fill="auto"/>
            <w:tcMar>
              <w:top w:w="72" w:type="dxa"/>
              <w:left w:w="144" w:type="dxa"/>
              <w:bottom w:w="72" w:type="dxa"/>
              <w:right w:w="144" w:type="dxa"/>
            </w:tcMar>
            <w:hideMark/>
          </w:tcPr>
          <w:p w14:paraId="6E4633E7" w14:textId="77777777" w:rsidR="002544C8" w:rsidRPr="00380C44" w:rsidRDefault="002544C8" w:rsidP="002544C8">
            <w:pPr>
              <w:rPr>
                <w:sz w:val="24"/>
                <w:szCs w:val="24"/>
                <w:cs/>
              </w:rPr>
            </w:pPr>
            <w:r w:rsidRPr="00380C44">
              <w:rPr>
                <w:rFonts w:cstheme="minorHAnsi"/>
                <w:sz w:val="24"/>
                <w:szCs w:val="24"/>
              </w:rPr>
              <w:t xml:space="preserve">1 luncheon seminar </w:t>
            </w:r>
          </w:p>
          <w:p w14:paraId="16421610" w14:textId="77777777" w:rsidR="002544C8" w:rsidRPr="00380C44" w:rsidRDefault="002544C8" w:rsidP="002544C8">
            <w:pPr>
              <w:rPr>
                <w:rFonts w:cstheme="minorHAnsi"/>
                <w:sz w:val="24"/>
                <w:szCs w:val="24"/>
                <w:cs/>
              </w:rPr>
            </w:pPr>
            <w:r w:rsidRPr="00380C44">
              <w:rPr>
                <w:rFonts w:cstheme="minorHAnsi"/>
                <w:sz w:val="24"/>
                <w:szCs w:val="24"/>
              </w:rPr>
              <w:t>One 2m x 2m Exhibition Booth (with priority to select preferable spot)</w:t>
            </w:r>
          </w:p>
          <w:p w14:paraId="00552215" w14:textId="79C9E6F8" w:rsidR="002544C8" w:rsidRPr="00380C44" w:rsidRDefault="002544C8" w:rsidP="002544C8">
            <w:pPr>
              <w:rPr>
                <w:rFonts w:cstheme="minorHAnsi"/>
                <w:sz w:val="24"/>
                <w:szCs w:val="24"/>
                <w:cs/>
              </w:rPr>
            </w:pPr>
            <w:r w:rsidRPr="00380C44">
              <w:rPr>
                <w:rFonts w:cstheme="minorHAnsi"/>
                <w:sz w:val="24"/>
                <w:szCs w:val="24"/>
              </w:rPr>
              <w:t xml:space="preserve">Sponsor’s logo </w:t>
            </w:r>
            <w:r w:rsidR="00897734" w:rsidRPr="00380C44">
              <w:rPr>
                <w:rFonts w:cstheme="minorHAnsi"/>
                <w:sz w:val="24"/>
                <w:szCs w:val="24"/>
              </w:rPr>
              <w:t>appears</w:t>
            </w:r>
            <w:r w:rsidRPr="00380C44">
              <w:rPr>
                <w:rFonts w:cstheme="minorHAnsi"/>
                <w:sz w:val="24"/>
                <w:szCs w:val="24"/>
              </w:rPr>
              <w:t xml:space="preserve"> as “Platinum Sponsor” in official banner, all advertising brochure/flyers, backdrop, conference bag and printed materials </w:t>
            </w:r>
          </w:p>
          <w:p w14:paraId="5D0930EE" w14:textId="77777777" w:rsidR="002544C8" w:rsidRPr="00380C44" w:rsidRDefault="002544C8" w:rsidP="002544C8">
            <w:pPr>
              <w:rPr>
                <w:rFonts w:cstheme="minorHAnsi"/>
                <w:sz w:val="24"/>
                <w:szCs w:val="24"/>
                <w:cs/>
              </w:rPr>
            </w:pPr>
            <w:r w:rsidRPr="00380C44">
              <w:rPr>
                <w:rFonts w:cstheme="minorHAnsi"/>
                <w:sz w:val="24"/>
                <w:szCs w:val="24"/>
              </w:rPr>
              <w:t xml:space="preserve">Logo with hyperlink at conference website </w:t>
            </w:r>
          </w:p>
          <w:p w14:paraId="44A7083B" w14:textId="77777777" w:rsidR="002544C8" w:rsidRPr="00380C44" w:rsidRDefault="002544C8" w:rsidP="002544C8">
            <w:pPr>
              <w:rPr>
                <w:rFonts w:cstheme="minorHAnsi"/>
                <w:sz w:val="24"/>
                <w:szCs w:val="24"/>
                <w:cs/>
              </w:rPr>
            </w:pPr>
            <w:r w:rsidRPr="00380C44">
              <w:rPr>
                <w:rFonts w:cstheme="minorHAnsi"/>
                <w:sz w:val="24"/>
                <w:szCs w:val="24"/>
              </w:rPr>
              <w:t xml:space="preserve">Eligibility to include one promotional material in the conference bag </w:t>
            </w:r>
          </w:p>
          <w:p w14:paraId="56F3ABA1" w14:textId="77777777" w:rsidR="002544C8" w:rsidRPr="00380C44" w:rsidRDefault="002544C8" w:rsidP="002544C8">
            <w:pPr>
              <w:rPr>
                <w:rFonts w:cstheme="minorHAnsi"/>
                <w:sz w:val="24"/>
                <w:szCs w:val="24"/>
                <w:cs/>
              </w:rPr>
            </w:pPr>
            <w:r w:rsidRPr="00380C44">
              <w:rPr>
                <w:rFonts w:cstheme="minorHAnsi"/>
                <w:sz w:val="24"/>
                <w:szCs w:val="24"/>
              </w:rPr>
              <w:t>Free advertisement in conference program and in Proceedings</w:t>
            </w:r>
          </w:p>
          <w:p w14:paraId="5D0C246A" w14:textId="77777777" w:rsidR="002544C8" w:rsidRPr="00380C44" w:rsidRDefault="002544C8" w:rsidP="002544C8">
            <w:pPr>
              <w:rPr>
                <w:rFonts w:cstheme="minorHAnsi"/>
                <w:sz w:val="24"/>
                <w:szCs w:val="24"/>
                <w:cs/>
              </w:rPr>
            </w:pPr>
            <w:r w:rsidRPr="00380C44">
              <w:rPr>
                <w:rFonts w:cstheme="minorHAnsi"/>
                <w:sz w:val="24"/>
                <w:szCs w:val="24"/>
              </w:rPr>
              <w:t>6 Complementary “Platinum Sponsor” conference badges</w:t>
            </w:r>
          </w:p>
          <w:p w14:paraId="35DDEA0C" w14:textId="77777777" w:rsidR="002544C8" w:rsidRPr="00380C44" w:rsidRDefault="002544C8" w:rsidP="002544C8">
            <w:pPr>
              <w:rPr>
                <w:rFonts w:cstheme="minorHAnsi"/>
                <w:sz w:val="24"/>
                <w:szCs w:val="24"/>
                <w:cs/>
              </w:rPr>
            </w:pPr>
            <w:r w:rsidRPr="00380C44">
              <w:rPr>
                <w:rFonts w:cstheme="minorHAnsi"/>
                <w:sz w:val="24"/>
                <w:szCs w:val="24"/>
              </w:rPr>
              <w:t>Entitlement to register up to 6 delegates on reduced rates</w:t>
            </w:r>
          </w:p>
          <w:p w14:paraId="1311339A" w14:textId="4E9195C6" w:rsidR="002544C8" w:rsidRPr="00380C44" w:rsidRDefault="002544C8" w:rsidP="002544C8">
            <w:pPr>
              <w:rPr>
                <w:rFonts w:cstheme="minorHAnsi"/>
                <w:sz w:val="24"/>
                <w:szCs w:val="24"/>
              </w:rPr>
            </w:pPr>
            <w:r w:rsidRPr="00380C44">
              <w:rPr>
                <w:rFonts w:cstheme="minorHAnsi"/>
                <w:sz w:val="24"/>
                <w:szCs w:val="24"/>
              </w:rPr>
              <w:t xml:space="preserve">Platinum sponsor will receive a sponsorship certificate from Organizing Committee. </w:t>
            </w:r>
          </w:p>
          <w:p w14:paraId="422BB6E1" w14:textId="77777777" w:rsidR="00853076" w:rsidRPr="00380C44" w:rsidRDefault="00853076" w:rsidP="002544C8">
            <w:pPr>
              <w:rPr>
                <w:rFonts w:cstheme="minorHAnsi"/>
                <w:sz w:val="24"/>
                <w:szCs w:val="24"/>
              </w:rPr>
            </w:pPr>
          </w:p>
          <w:p w14:paraId="1D68ABA6" w14:textId="735B5D24" w:rsidR="00457FA3" w:rsidRPr="00380C44" w:rsidRDefault="00457FA3" w:rsidP="002544C8">
            <w:pPr>
              <w:rPr>
                <w:sz w:val="24"/>
                <w:szCs w:val="24"/>
                <w:cs/>
              </w:rPr>
            </w:pPr>
          </w:p>
        </w:tc>
      </w:tr>
      <w:tr w:rsidR="002544C8" w:rsidRPr="00380C44" w14:paraId="6197BB0C" w14:textId="77777777" w:rsidTr="002544C8">
        <w:trPr>
          <w:trHeight w:val="584"/>
        </w:trPr>
        <w:tc>
          <w:tcPr>
            <w:tcW w:w="1163" w:type="dxa"/>
            <w:shd w:val="clear" w:color="auto" w:fill="D0CECE" w:themeFill="background2" w:themeFillShade="E6"/>
            <w:tcMar>
              <w:top w:w="72" w:type="dxa"/>
              <w:left w:w="144" w:type="dxa"/>
              <w:bottom w:w="72" w:type="dxa"/>
              <w:right w:w="144" w:type="dxa"/>
            </w:tcMar>
          </w:tcPr>
          <w:p w14:paraId="060ABCA1" w14:textId="74F50B46" w:rsidR="002544C8" w:rsidRPr="00380C44" w:rsidRDefault="002544C8" w:rsidP="002544C8">
            <w:pPr>
              <w:rPr>
                <w:rFonts w:cstheme="minorHAnsi"/>
                <w:sz w:val="24"/>
                <w:szCs w:val="24"/>
              </w:rPr>
            </w:pPr>
            <w:r w:rsidRPr="00380C44">
              <w:rPr>
                <w:rFonts w:cstheme="minorHAnsi"/>
                <w:sz w:val="24"/>
                <w:szCs w:val="24"/>
              </w:rPr>
              <w:lastRenderedPageBreak/>
              <w:t xml:space="preserve"> </w:t>
            </w:r>
            <w:r w:rsidRPr="00380C44">
              <w:rPr>
                <w:rFonts w:cstheme="minorHAnsi"/>
                <w:b/>
                <w:bCs/>
                <w:sz w:val="24"/>
                <w:szCs w:val="24"/>
              </w:rPr>
              <w:t>Package</w:t>
            </w:r>
          </w:p>
        </w:tc>
        <w:tc>
          <w:tcPr>
            <w:tcW w:w="1662" w:type="dxa"/>
            <w:shd w:val="clear" w:color="auto" w:fill="D0CECE" w:themeFill="background2" w:themeFillShade="E6"/>
            <w:tcMar>
              <w:top w:w="72" w:type="dxa"/>
              <w:left w:w="144" w:type="dxa"/>
              <w:bottom w:w="72" w:type="dxa"/>
              <w:right w:w="144" w:type="dxa"/>
            </w:tcMar>
          </w:tcPr>
          <w:p w14:paraId="64F30DFB" w14:textId="77BE67CD" w:rsidR="002544C8" w:rsidRPr="00380C44" w:rsidRDefault="002544C8" w:rsidP="002544C8">
            <w:pPr>
              <w:rPr>
                <w:rFonts w:cstheme="minorHAnsi"/>
                <w:sz w:val="24"/>
                <w:szCs w:val="24"/>
              </w:rPr>
            </w:pPr>
            <w:r w:rsidRPr="00380C44">
              <w:rPr>
                <w:rFonts w:cstheme="minorHAnsi"/>
                <w:b/>
                <w:bCs/>
                <w:sz w:val="24"/>
                <w:szCs w:val="24"/>
              </w:rPr>
              <w:t xml:space="preserve">Price </w:t>
            </w:r>
          </w:p>
        </w:tc>
        <w:tc>
          <w:tcPr>
            <w:tcW w:w="6237" w:type="dxa"/>
            <w:shd w:val="clear" w:color="auto" w:fill="D0CECE" w:themeFill="background2" w:themeFillShade="E6"/>
            <w:tcMar>
              <w:top w:w="72" w:type="dxa"/>
              <w:left w:w="144" w:type="dxa"/>
              <w:bottom w:w="72" w:type="dxa"/>
              <w:right w:w="144" w:type="dxa"/>
            </w:tcMar>
          </w:tcPr>
          <w:p w14:paraId="5B6C3770" w14:textId="5EA1088D" w:rsidR="002544C8" w:rsidRPr="00380C44" w:rsidRDefault="002544C8" w:rsidP="002544C8">
            <w:pPr>
              <w:rPr>
                <w:rFonts w:cstheme="minorHAnsi"/>
                <w:sz w:val="24"/>
                <w:szCs w:val="24"/>
              </w:rPr>
            </w:pPr>
            <w:r w:rsidRPr="00380C44">
              <w:rPr>
                <w:rFonts w:cstheme="minorHAnsi"/>
                <w:b/>
                <w:bCs/>
                <w:sz w:val="24"/>
                <w:szCs w:val="24"/>
              </w:rPr>
              <w:t>Benefits</w:t>
            </w:r>
          </w:p>
        </w:tc>
      </w:tr>
      <w:tr w:rsidR="002544C8" w:rsidRPr="00380C44" w14:paraId="04F9323E" w14:textId="77777777" w:rsidTr="002544C8">
        <w:trPr>
          <w:trHeight w:val="584"/>
        </w:trPr>
        <w:tc>
          <w:tcPr>
            <w:tcW w:w="1163" w:type="dxa"/>
            <w:shd w:val="clear" w:color="auto" w:fill="auto"/>
            <w:tcMar>
              <w:top w:w="72" w:type="dxa"/>
              <w:left w:w="144" w:type="dxa"/>
              <w:bottom w:w="72" w:type="dxa"/>
              <w:right w:w="144" w:type="dxa"/>
            </w:tcMar>
            <w:hideMark/>
          </w:tcPr>
          <w:p w14:paraId="7EE24AE2" w14:textId="77777777" w:rsidR="002544C8" w:rsidRPr="00380C44" w:rsidRDefault="002544C8" w:rsidP="002544C8">
            <w:pPr>
              <w:rPr>
                <w:sz w:val="24"/>
                <w:szCs w:val="24"/>
                <w:cs/>
              </w:rPr>
            </w:pPr>
            <w:r w:rsidRPr="00380C44">
              <w:rPr>
                <w:rFonts w:cstheme="minorHAnsi"/>
                <w:sz w:val="24"/>
                <w:szCs w:val="24"/>
              </w:rPr>
              <w:t>Gold</w:t>
            </w:r>
          </w:p>
        </w:tc>
        <w:tc>
          <w:tcPr>
            <w:tcW w:w="1662" w:type="dxa"/>
            <w:shd w:val="clear" w:color="auto" w:fill="auto"/>
            <w:tcMar>
              <w:top w:w="72" w:type="dxa"/>
              <w:left w:w="144" w:type="dxa"/>
              <w:bottom w:w="72" w:type="dxa"/>
              <w:right w:w="144" w:type="dxa"/>
            </w:tcMar>
            <w:hideMark/>
          </w:tcPr>
          <w:p w14:paraId="4A5FC5EC" w14:textId="252E6B16" w:rsidR="002544C8" w:rsidRPr="00380C44" w:rsidRDefault="002544C8" w:rsidP="002544C8">
            <w:pPr>
              <w:rPr>
                <w:rFonts w:cstheme="minorHAnsi"/>
                <w:sz w:val="24"/>
                <w:szCs w:val="24"/>
                <w:cs/>
              </w:rPr>
            </w:pPr>
            <w:r w:rsidRPr="00380C44">
              <w:rPr>
                <w:rFonts w:cstheme="minorHAnsi"/>
                <w:sz w:val="24"/>
                <w:szCs w:val="24"/>
              </w:rPr>
              <w:t>1</w:t>
            </w:r>
            <w:r w:rsidR="00457FA3" w:rsidRPr="00380C44">
              <w:rPr>
                <w:rFonts w:cstheme="minorHAnsi"/>
                <w:sz w:val="24"/>
                <w:szCs w:val="24"/>
              </w:rPr>
              <w:t>8</w:t>
            </w:r>
            <w:r w:rsidRPr="00380C44">
              <w:rPr>
                <w:rFonts w:cstheme="minorHAnsi"/>
                <w:sz w:val="24"/>
                <w:szCs w:val="24"/>
              </w:rPr>
              <w:t>0,000 Baht</w:t>
            </w:r>
          </w:p>
        </w:tc>
        <w:tc>
          <w:tcPr>
            <w:tcW w:w="6237" w:type="dxa"/>
            <w:shd w:val="clear" w:color="auto" w:fill="auto"/>
            <w:tcMar>
              <w:top w:w="72" w:type="dxa"/>
              <w:left w:w="144" w:type="dxa"/>
              <w:bottom w:w="72" w:type="dxa"/>
              <w:right w:w="144" w:type="dxa"/>
            </w:tcMar>
            <w:hideMark/>
          </w:tcPr>
          <w:p w14:paraId="5738D875" w14:textId="77777777" w:rsidR="002544C8" w:rsidRPr="00380C44" w:rsidRDefault="002544C8" w:rsidP="002544C8">
            <w:pPr>
              <w:rPr>
                <w:rFonts w:cstheme="minorHAnsi"/>
                <w:sz w:val="24"/>
                <w:szCs w:val="24"/>
                <w:cs/>
              </w:rPr>
            </w:pPr>
            <w:r w:rsidRPr="00380C44">
              <w:rPr>
                <w:rFonts w:cstheme="minorHAnsi"/>
                <w:sz w:val="24"/>
                <w:szCs w:val="24"/>
              </w:rPr>
              <w:t>One 2m x 2m Exhibition Booth</w:t>
            </w:r>
          </w:p>
          <w:p w14:paraId="3AD4E5A8" w14:textId="1D6BE52A" w:rsidR="002544C8" w:rsidRPr="00380C44" w:rsidRDefault="002544C8" w:rsidP="002544C8">
            <w:pPr>
              <w:rPr>
                <w:rFonts w:cstheme="minorHAnsi"/>
                <w:sz w:val="24"/>
                <w:szCs w:val="24"/>
                <w:cs/>
              </w:rPr>
            </w:pPr>
            <w:r w:rsidRPr="00380C44">
              <w:rPr>
                <w:rFonts w:cstheme="minorHAnsi"/>
                <w:sz w:val="24"/>
                <w:szCs w:val="24"/>
              </w:rPr>
              <w:t xml:space="preserve">Sponsor’s logo </w:t>
            </w:r>
            <w:r w:rsidR="00897734" w:rsidRPr="00380C44">
              <w:rPr>
                <w:rFonts w:cstheme="minorHAnsi"/>
                <w:sz w:val="24"/>
                <w:szCs w:val="24"/>
              </w:rPr>
              <w:t>appears</w:t>
            </w:r>
            <w:r w:rsidRPr="00380C44">
              <w:rPr>
                <w:rFonts w:cstheme="minorHAnsi"/>
                <w:sz w:val="24"/>
                <w:szCs w:val="24"/>
              </w:rPr>
              <w:t xml:space="preserve"> as “Gold Sponsor” in official banner, all advertising brochure/flyers, backdrop, conference bag and printed materials </w:t>
            </w:r>
          </w:p>
          <w:p w14:paraId="147B401E" w14:textId="77777777" w:rsidR="002544C8" w:rsidRPr="00380C44" w:rsidRDefault="002544C8" w:rsidP="002544C8">
            <w:pPr>
              <w:rPr>
                <w:rFonts w:cstheme="minorHAnsi"/>
                <w:sz w:val="24"/>
                <w:szCs w:val="24"/>
                <w:cs/>
              </w:rPr>
            </w:pPr>
            <w:r w:rsidRPr="00380C44">
              <w:rPr>
                <w:rFonts w:cstheme="minorHAnsi"/>
                <w:sz w:val="24"/>
                <w:szCs w:val="24"/>
              </w:rPr>
              <w:t xml:space="preserve">Logo with hyperlink at conference website </w:t>
            </w:r>
          </w:p>
          <w:p w14:paraId="57576975" w14:textId="77777777" w:rsidR="002544C8" w:rsidRPr="00380C44" w:rsidRDefault="002544C8" w:rsidP="002544C8">
            <w:pPr>
              <w:rPr>
                <w:rFonts w:cstheme="minorHAnsi"/>
                <w:sz w:val="24"/>
                <w:szCs w:val="24"/>
                <w:cs/>
              </w:rPr>
            </w:pPr>
            <w:r w:rsidRPr="00380C44">
              <w:rPr>
                <w:rFonts w:cstheme="minorHAnsi"/>
                <w:sz w:val="24"/>
                <w:szCs w:val="24"/>
              </w:rPr>
              <w:t xml:space="preserve">Free advertisement in conference program </w:t>
            </w:r>
          </w:p>
          <w:p w14:paraId="4F758DF0" w14:textId="77777777" w:rsidR="002544C8" w:rsidRPr="00380C44" w:rsidRDefault="002544C8" w:rsidP="002544C8">
            <w:pPr>
              <w:rPr>
                <w:rFonts w:cstheme="minorHAnsi"/>
                <w:sz w:val="24"/>
                <w:szCs w:val="24"/>
                <w:cs/>
              </w:rPr>
            </w:pPr>
            <w:r w:rsidRPr="00380C44">
              <w:rPr>
                <w:rFonts w:cstheme="minorHAnsi"/>
                <w:sz w:val="24"/>
                <w:szCs w:val="24"/>
              </w:rPr>
              <w:t>3 Complementary “Gold Sponsor” conference badges</w:t>
            </w:r>
          </w:p>
          <w:p w14:paraId="6BD30142" w14:textId="77777777" w:rsidR="002544C8" w:rsidRPr="00380C44" w:rsidRDefault="002544C8" w:rsidP="002544C8">
            <w:pPr>
              <w:rPr>
                <w:rFonts w:cstheme="minorHAnsi"/>
                <w:sz w:val="24"/>
                <w:szCs w:val="24"/>
                <w:cs/>
              </w:rPr>
            </w:pPr>
            <w:r w:rsidRPr="00380C44">
              <w:rPr>
                <w:rFonts w:cstheme="minorHAnsi"/>
                <w:sz w:val="24"/>
                <w:szCs w:val="24"/>
              </w:rPr>
              <w:t xml:space="preserve">Entitlement to register up to 3 delegates on reduced rates </w:t>
            </w:r>
          </w:p>
          <w:p w14:paraId="18E42F59" w14:textId="77777777" w:rsidR="002544C8" w:rsidRPr="00380C44" w:rsidRDefault="002544C8" w:rsidP="002544C8">
            <w:pPr>
              <w:rPr>
                <w:rFonts w:cstheme="minorHAnsi"/>
                <w:sz w:val="24"/>
                <w:szCs w:val="24"/>
                <w:cs/>
              </w:rPr>
            </w:pPr>
            <w:r w:rsidRPr="00380C44">
              <w:rPr>
                <w:rFonts w:cstheme="minorHAnsi"/>
                <w:sz w:val="24"/>
                <w:szCs w:val="24"/>
              </w:rPr>
              <w:t xml:space="preserve">Gold Sponsor will receive a sponsorship certificate from Organizing Committee. </w:t>
            </w:r>
          </w:p>
        </w:tc>
      </w:tr>
      <w:tr w:rsidR="002544C8" w:rsidRPr="00380C44" w14:paraId="7C48B4A2" w14:textId="77777777" w:rsidTr="002544C8">
        <w:trPr>
          <w:trHeight w:val="584"/>
        </w:trPr>
        <w:tc>
          <w:tcPr>
            <w:tcW w:w="1163" w:type="dxa"/>
            <w:shd w:val="clear" w:color="auto" w:fill="auto"/>
            <w:tcMar>
              <w:top w:w="72" w:type="dxa"/>
              <w:left w:w="144" w:type="dxa"/>
              <w:bottom w:w="72" w:type="dxa"/>
              <w:right w:w="144" w:type="dxa"/>
            </w:tcMar>
            <w:hideMark/>
          </w:tcPr>
          <w:p w14:paraId="67091DE2" w14:textId="77777777" w:rsidR="002544C8" w:rsidRPr="00380C44" w:rsidRDefault="002544C8" w:rsidP="002544C8">
            <w:pPr>
              <w:rPr>
                <w:rFonts w:cstheme="minorHAnsi"/>
                <w:sz w:val="24"/>
                <w:szCs w:val="24"/>
                <w:cs/>
              </w:rPr>
            </w:pPr>
            <w:r w:rsidRPr="00380C44">
              <w:rPr>
                <w:rFonts w:cstheme="minorHAnsi"/>
                <w:sz w:val="24"/>
                <w:szCs w:val="24"/>
              </w:rPr>
              <w:t>Exhibitor</w:t>
            </w:r>
          </w:p>
        </w:tc>
        <w:tc>
          <w:tcPr>
            <w:tcW w:w="1662" w:type="dxa"/>
            <w:shd w:val="clear" w:color="auto" w:fill="auto"/>
            <w:tcMar>
              <w:top w:w="72" w:type="dxa"/>
              <w:left w:w="144" w:type="dxa"/>
              <w:bottom w:w="72" w:type="dxa"/>
              <w:right w:w="144" w:type="dxa"/>
            </w:tcMar>
            <w:hideMark/>
          </w:tcPr>
          <w:p w14:paraId="63CC4B21" w14:textId="2086363A" w:rsidR="002544C8" w:rsidRPr="00380C44" w:rsidRDefault="00457FA3" w:rsidP="002544C8">
            <w:pPr>
              <w:rPr>
                <w:rFonts w:cstheme="minorHAnsi"/>
                <w:sz w:val="24"/>
                <w:szCs w:val="24"/>
                <w:cs/>
              </w:rPr>
            </w:pPr>
            <w:r w:rsidRPr="00380C44">
              <w:rPr>
                <w:rFonts w:cstheme="minorHAnsi"/>
                <w:sz w:val="24"/>
                <w:szCs w:val="24"/>
              </w:rPr>
              <w:t>5</w:t>
            </w:r>
            <w:r w:rsidR="002544C8" w:rsidRPr="00380C44">
              <w:rPr>
                <w:rFonts w:cstheme="minorHAnsi"/>
                <w:sz w:val="24"/>
                <w:szCs w:val="24"/>
              </w:rPr>
              <w:t>0,000 Baht</w:t>
            </w:r>
          </w:p>
        </w:tc>
        <w:tc>
          <w:tcPr>
            <w:tcW w:w="6237" w:type="dxa"/>
            <w:shd w:val="clear" w:color="auto" w:fill="auto"/>
            <w:tcMar>
              <w:top w:w="72" w:type="dxa"/>
              <w:left w:w="144" w:type="dxa"/>
              <w:bottom w:w="72" w:type="dxa"/>
              <w:right w:w="144" w:type="dxa"/>
            </w:tcMar>
            <w:hideMark/>
          </w:tcPr>
          <w:p w14:paraId="2F6B1DA3" w14:textId="77777777" w:rsidR="002544C8" w:rsidRPr="00380C44" w:rsidRDefault="002544C8" w:rsidP="002544C8">
            <w:pPr>
              <w:rPr>
                <w:rFonts w:cstheme="minorHAnsi"/>
                <w:sz w:val="24"/>
                <w:szCs w:val="24"/>
                <w:cs/>
              </w:rPr>
            </w:pPr>
            <w:r w:rsidRPr="00380C44">
              <w:rPr>
                <w:rFonts w:cstheme="minorHAnsi"/>
                <w:sz w:val="24"/>
                <w:szCs w:val="24"/>
              </w:rPr>
              <w:t xml:space="preserve">One 2m × 2m exhibition booth </w:t>
            </w:r>
          </w:p>
          <w:p w14:paraId="3B5CB83A" w14:textId="77777777" w:rsidR="002544C8" w:rsidRPr="00380C44" w:rsidRDefault="002544C8" w:rsidP="002544C8">
            <w:pPr>
              <w:rPr>
                <w:rFonts w:cstheme="minorHAnsi"/>
                <w:sz w:val="24"/>
                <w:szCs w:val="24"/>
                <w:cs/>
              </w:rPr>
            </w:pPr>
            <w:r w:rsidRPr="00380C44">
              <w:rPr>
                <w:rFonts w:cstheme="minorHAnsi"/>
                <w:sz w:val="24"/>
                <w:szCs w:val="24"/>
              </w:rPr>
              <w:t>2 Complementary “Exhibitor” conference badges</w:t>
            </w:r>
          </w:p>
          <w:p w14:paraId="6F1463E1" w14:textId="77777777" w:rsidR="002544C8" w:rsidRPr="00380C44" w:rsidRDefault="002544C8" w:rsidP="002544C8">
            <w:pPr>
              <w:rPr>
                <w:rFonts w:cstheme="minorHAnsi"/>
                <w:sz w:val="24"/>
                <w:szCs w:val="24"/>
                <w:cs/>
              </w:rPr>
            </w:pPr>
            <w:r w:rsidRPr="00380C44">
              <w:rPr>
                <w:rFonts w:cstheme="minorHAnsi"/>
                <w:sz w:val="24"/>
                <w:szCs w:val="24"/>
              </w:rPr>
              <w:t xml:space="preserve">Exhibitor will receive an exhibitor certificate from Organizing Committee. </w:t>
            </w:r>
          </w:p>
        </w:tc>
      </w:tr>
    </w:tbl>
    <w:p w14:paraId="27A95FFA" w14:textId="6950600C" w:rsidR="002544C8" w:rsidRPr="00380C44" w:rsidRDefault="002544C8" w:rsidP="00382ABE">
      <w:pPr>
        <w:rPr>
          <w:rFonts w:cstheme="minorHAnsi"/>
          <w:sz w:val="24"/>
          <w:szCs w:val="24"/>
        </w:rPr>
      </w:pPr>
      <w:r w:rsidRPr="00380C44">
        <w:rPr>
          <w:rFonts w:cstheme="minorHAnsi"/>
          <w:sz w:val="24"/>
          <w:szCs w:val="24"/>
        </w:rPr>
        <w:t xml:space="preserve"> </w:t>
      </w:r>
    </w:p>
    <w:p w14:paraId="295E6D5F" w14:textId="2C37023E" w:rsidR="002544C8" w:rsidRPr="00380C44" w:rsidRDefault="002544C8" w:rsidP="00382ABE">
      <w:pPr>
        <w:rPr>
          <w:rFonts w:cstheme="minorHAnsi"/>
          <w:sz w:val="24"/>
          <w:szCs w:val="24"/>
        </w:rPr>
      </w:pPr>
      <w:r w:rsidRPr="00380C44">
        <w:rPr>
          <w:rFonts w:cstheme="minorHAnsi"/>
          <w:sz w:val="24"/>
          <w:szCs w:val="24"/>
        </w:rPr>
        <w:t>If you are interested in sponsoring this event, please feel free to contact the</w:t>
      </w:r>
      <w:r w:rsidR="003F2A0C" w:rsidRPr="00380C44">
        <w:rPr>
          <w:rFonts w:cstheme="minorHAnsi"/>
          <w:sz w:val="24"/>
          <w:szCs w:val="24"/>
        </w:rPr>
        <w:t xml:space="preserve"> Thai </w:t>
      </w:r>
      <w:r w:rsidRPr="00380C44">
        <w:rPr>
          <w:rFonts w:cstheme="minorHAnsi"/>
          <w:sz w:val="24"/>
          <w:szCs w:val="24"/>
        </w:rPr>
        <w:t xml:space="preserve">Society of Human Genetics via the contact below; </w:t>
      </w:r>
    </w:p>
    <w:p w14:paraId="4A94B75B" w14:textId="7F9B5A78" w:rsidR="002544C8" w:rsidRPr="00380C44" w:rsidRDefault="002544C8" w:rsidP="00382ABE">
      <w:pPr>
        <w:rPr>
          <w:sz w:val="24"/>
          <w:szCs w:val="24"/>
        </w:rPr>
      </w:pPr>
      <w:r w:rsidRPr="00380C44">
        <w:rPr>
          <w:rFonts w:cstheme="minorHAnsi"/>
          <w:sz w:val="24"/>
          <w:szCs w:val="24"/>
        </w:rPr>
        <w:t xml:space="preserve">Nusara Satproedprai Mobile: +66 83 1893575 Email: </w:t>
      </w:r>
      <w:hyperlink r:id="rId5" w:history="1">
        <w:r w:rsidR="00886123" w:rsidRPr="00380C44">
          <w:rPr>
            <w:rStyle w:val="Hyperlink"/>
            <w:rFonts w:cstheme="minorHAnsi"/>
            <w:sz w:val="24"/>
            <w:szCs w:val="24"/>
          </w:rPr>
          <w:t>nusara.sat@gmail.com</w:t>
        </w:r>
      </w:hyperlink>
    </w:p>
    <w:p w14:paraId="5C5A7AEB" w14:textId="421C1E4E" w:rsidR="00886123" w:rsidRPr="00380C44" w:rsidRDefault="00886123" w:rsidP="00A819FD">
      <w:pPr>
        <w:rPr>
          <w:sz w:val="24"/>
          <w:szCs w:val="24"/>
        </w:rPr>
      </w:pPr>
      <w:r w:rsidRPr="00380C44">
        <w:rPr>
          <w:sz w:val="24"/>
          <w:szCs w:val="24"/>
        </w:rPr>
        <w:t>Interested to sponsor</w:t>
      </w:r>
      <w:r w:rsidR="004B7FB1" w:rsidRPr="00380C44">
        <w:rPr>
          <w:sz w:val="24"/>
          <w:szCs w:val="24"/>
        </w:rPr>
        <w:t>,</w:t>
      </w:r>
      <w:r w:rsidRPr="00380C44">
        <w:rPr>
          <w:sz w:val="24"/>
          <w:szCs w:val="24"/>
        </w:rPr>
        <w:t xml:space="preserve"> </w:t>
      </w:r>
      <w:r w:rsidR="009C2645" w:rsidRPr="00380C44">
        <w:rPr>
          <w:sz w:val="24"/>
          <w:szCs w:val="24"/>
        </w:rPr>
        <w:t>p</w:t>
      </w:r>
      <w:r w:rsidRPr="00380C44">
        <w:rPr>
          <w:sz w:val="24"/>
          <w:szCs w:val="24"/>
        </w:rPr>
        <w:t xml:space="preserve">lease make a reservation and deposit 10% of the package fee within </w:t>
      </w:r>
      <w:r w:rsidR="00457FA3" w:rsidRPr="00380C44">
        <w:rPr>
          <w:sz w:val="24"/>
          <w:szCs w:val="24"/>
        </w:rPr>
        <w:t>April 20</w:t>
      </w:r>
      <w:r w:rsidR="00457FA3" w:rsidRPr="00380C44">
        <w:rPr>
          <w:sz w:val="24"/>
          <w:szCs w:val="24"/>
          <w:vertAlign w:val="superscript"/>
        </w:rPr>
        <w:t>th</w:t>
      </w:r>
      <w:r w:rsidRPr="00380C44">
        <w:rPr>
          <w:sz w:val="24"/>
          <w:szCs w:val="24"/>
        </w:rPr>
        <w:t>, 202</w:t>
      </w:r>
      <w:r w:rsidR="00457FA3" w:rsidRPr="00380C44">
        <w:rPr>
          <w:sz w:val="24"/>
          <w:szCs w:val="24"/>
        </w:rPr>
        <w:t>3</w:t>
      </w:r>
      <w:r w:rsidRPr="00380C44">
        <w:rPr>
          <w:sz w:val="24"/>
          <w:szCs w:val="24"/>
        </w:rPr>
        <w:t xml:space="preserve"> to </w:t>
      </w:r>
      <w:r w:rsidR="00A819FD" w:rsidRPr="00380C44">
        <w:rPr>
          <w:sz w:val="24"/>
          <w:szCs w:val="24"/>
        </w:rPr>
        <w:t>Account no. 080-0-14551-8 Bangkok , National Science and Technology Development Agency Branch Account name : Society of Human Genetics</w:t>
      </w:r>
    </w:p>
    <w:p w14:paraId="13244A85" w14:textId="73BBA851" w:rsidR="00382ABE" w:rsidRPr="00380C44" w:rsidRDefault="00382ABE" w:rsidP="00382ABE">
      <w:pPr>
        <w:rPr>
          <w:rFonts w:cstheme="minorHAnsi"/>
          <w:sz w:val="24"/>
          <w:szCs w:val="24"/>
        </w:rPr>
      </w:pPr>
    </w:p>
    <w:sectPr w:rsidR="00382ABE" w:rsidRPr="00380C44" w:rsidSect="004B7FB1">
      <w:pgSz w:w="11906" w:h="16838" w:code="9"/>
      <w:pgMar w:top="709" w:right="1440" w:bottom="990" w:left="144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60"/>
  <w:drawingGridVerticalSpacing w:val="435"/>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BE"/>
    <w:rsid w:val="00056B9C"/>
    <w:rsid w:val="001B01DE"/>
    <w:rsid w:val="002544C8"/>
    <w:rsid w:val="00380C44"/>
    <w:rsid w:val="00382ABE"/>
    <w:rsid w:val="003F2A0C"/>
    <w:rsid w:val="00457FA3"/>
    <w:rsid w:val="004B7FB1"/>
    <w:rsid w:val="00603AA6"/>
    <w:rsid w:val="00853076"/>
    <w:rsid w:val="00886123"/>
    <w:rsid w:val="00897734"/>
    <w:rsid w:val="009C2645"/>
    <w:rsid w:val="00A819FD"/>
    <w:rsid w:val="00CA00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FD32"/>
  <w15:chartTrackingRefBased/>
  <w15:docId w15:val="{199A67D6-11F6-49EB-8367-873836DE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23"/>
    <w:rPr>
      <w:color w:val="0563C1" w:themeColor="hyperlink"/>
      <w:u w:val="single"/>
    </w:rPr>
  </w:style>
  <w:style w:type="character" w:styleId="UnresolvedMention">
    <w:name w:val="Unresolved Mention"/>
    <w:basedOn w:val="DefaultParagraphFont"/>
    <w:uiPriority w:val="99"/>
    <w:semiHidden/>
    <w:unhideWhenUsed/>
    <w:rsid w:val="00886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sara.sa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Nusara Satproedprai</dc:creator>
  <cp:keywords/>
  <dc:description/>
  <cp:lastModifiedBy>Jindarat T.</cp:lastModifiedBy>
  <cp:revision>6</cp:revision>
  <dcterms:created xsi:type="dcterms:W3CDTF">2023-02-15T04:02:00Z</dcterms:created>
  <dcterms:modified xsi:type="dcterms:W3CDTF">2023-03-31T04:59:00Z</dcterms:modified>
</cp:coreProperties>
</file>